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4C3B" w14:textId="77777777" w:rsidR="00FA13E8" w:rsidRDefault="00FA13E8"/>
    <w:p w14:paraId="5142DD4F" w14:textId="6EC90BE6" w:rsidR="00CD04E5" w:rsidRPr="008A7071" w:rsidRDefault="00CD04E5" w:rsidP="008A707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Is it a Half?</w:t>
      </w:r>
    </w:p>
    <w:p w14:paraId="6D410C24" w14:textId="5BA0FF85" w:rsidR="00006A4E" w:rsidRDefault="00CD04E5" w:rsidP="00CD04E5">
      <w:pPr>
        <w:spacing w:line="360" w:lineRule="auto"/>
        <w:rPr>
          <w:rFonts w:ascii="Times New Roman" w:hAnsi="Times New Roman"/>
        </w:rPr>
      </w:pPr>
      <w:r w:rsidRPr="00982011">
        <w:rPr>
          <w:rFonts w:ascii="Times New Roman" w:hAnsi="Times New Roman"/>
          <w:b/>
        </w:rPr>
        <w:t>Brie</w:t>
      </w:r>
      <w:r>
        <w:rPr>
          <w:rFonts w:ascii="Times New Roman" w:hAnsi="Times New Roman"/>
          <w:b/>
        </w:rPr>
        <w:t>f description of focus of video</w:t>
      </w:r>
      <w:r w:rsidRPr="0098201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51433F">
        <w:rPr>
          <w:rFonts w:ascii="Times New Roman" w:hAnsi="Times New Roman"/>
        </w:rPr>
        <w:t xml:space="preserve">These </w:t>
      </w:r>
      <w:r w:rsidR="0029139C">
        <w:rPr>
          <w:rFonts w:ascii="Times New Roman" w:hAnsi="Times New Roman"/>
        </w:rPr>
        <w:t xml:space="preserve">next </w:t>
      </w:r>
      <w:r w:rsidR="005C62BE">
        <w:rPr>
          <w:rFonts w:ascii="Times New Roman" w:hAnsi="Times New Roman"/>
        </w:rPr>
        <w:t xml:space="preserve">video </w:t>
      </w:r>
      <w:r w:rsidR="0051433F">
        <w:rPr>
          <w:rFonts w:ascii="Times New Roman" w:hAnsi="Times New Roman"/>
        </w:rPr>
        <w:t xml:space="preserve">clips </w:t>
      </w:r>
      <w:r w:rsidR="00645C58">
        <w:rPr>
          <w:rFonts w:ascii="Times New Roman" w:hAnsi="Times New Roman"/>
        </w:rPr>
        <w:t>(</w:t>
      </w:r>
      <w:r w:rsidR="0029139C">
        <w:rPr>
          <w:rFonts w:ascii="Times New Roman" w:hAnsi="Times New Roman"/>
        </w:rPr>
        <w:t>#</w:t>
      </w:r>
      <w:r w:rsidR="00AC7BD6">
        <w:rPr>
          <w:rFonts w:ascii="Times New Roman" w:hAnsi="Times New Roman"/>
        </w:rPr>
        <w:t>3</w:t>
      </w:r>
      <w:r w:rsidR="0029139C">
        <w:rPr>
          <w:rFonts w:ascii="Times New Roman" w:hAnsi="Times New Roman"/>
        </w:rPr>
        <w:t xml:space="preserve">a, 3b, 3c) </w:t>
      </w:r>
      <w:r w:rsidR="0051433F">
        <w:rPr>
          <w:rFonts w:ascii="Times New Roman" w:hAnsi="Times New Roman"/>
        </w:rPr>
        <w:t xml:space="preserve">are taken from the next </w:t>
      </w:r>
      <w:r w:rsidR="00645C58">
        <w:rPr>
          <w:rFonts w:ascii="Times New Roman" w:hAnsi="Times New Roman"/>
        </w:rPr>
        <w:t>five</w:t>
      </w:r>
      <w:r w:rsidR="0051433F">
        <w:rPr>
          <w:rFonts w:ascii="Times New Roman" w:hAnsi="Times New Roman"/>
        </w:rPr>
        <w:t xml:space="preserve"> minutes of </w:t>
      </w:r>
      <w:r w:rsidR="00995C8F">
        <w:rPr>
          <w:rFonts w:ascii="Times New Roman" w:hAnsi="Times New Roman"/>
        </w:rPr>
        <w:t xml:space="preserve">class. </w:t>
      </w:r>
      <w:r w:rsidR="00AC7BD6">
        <w:rPr>
          <w:rFonts w:ascii="Times New Roman" w:hAnsi="Times New Roman"/>
        </w:rPr>
        <w:t xml:space="preserve">Video clips 3a, 3b, and 3c </w:t>
      </w:r>
      <w:r w:rsidR="009B01DC">
        <w:rPr>
          <w:rFonts w:ascii="Times New Roman" w:hAnsi="Times New Roman"/>
        </w:rPr>
        <w:t xml:space="preserve">reveal their emerging ways of thinking, and revisions to earlier ways of thinking. </w:t>
      </w:r>
    </w:p>
    <w:p w14:paraId="6C83BEA1" w14:textId="2EA7C606" w:rsidR="009D0714" w:rsidRDefault="009B01DC" w:rsidP="00CD0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this set of clips, the </w:t>
      </w:r>
      <w:r w:rsidR="00876076">
        <w:rPr>
          <w:rFonts w:ascii="Times New Roman" w:hAnsi="Times New Roman"/>
        </w:rPr>
        <w:t xml:space="preserve">two students </w:t>
      </w:r>
      <w:r>
        <w:rPr>
          <w:rFonts w:ascii="Times New Roman" w:hAnsi="Times New Roman"/>
        </w:rPr>
        <w:t xml:space="preserve">work for five more minutes and then the class returns to a whole class discussion.  </w:t>
      </w:r>
    </w:p>
    <w:p w14:paraId="64A491D2" w14:textId="77777777" w:rsidR="00645C58" w:rsidRDefault="00645C58" w:rsidP="00AD174F">
      <w:pPr>
        <w:spacing w:line="360" w:lineRule="auto"/>
        <w:rPr>
          <w:rFonts w:ascii="Times New Roman" w:hAnsi="Times New Roman"/>
        </w:rPr>
      </w:pPr>
    </w:p>
    <w:p w14:paraId="21CEC88F" w14:textId="0614D877" w:rsidR="001A36CB" w:rsidRDefault="003F5ABA" w:rsidP="00AD174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Clip 3a</w:t>
      </w:r>
    </w:p>
    <w:p w14:paraId="66A74E21" w14:textId="77A030AE" w:rsidR="0051433F" w:rsidRPr="00F668FA" w:rsidRDefault="0045452E" w:rsidP="0051433F">
      <w:pPr>
        <w:spacing w:line="360" w:lineRule="auto"/>
        <w:ind w:left="270" w:hanging="27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2:59</w:t>
      </w:r>
      <w:r w:rsidR="001A00EC">
        <w:rPr>
          <w:rFonts w:ascii="Times New Roman" w:hAnsi="Times New Roman"/>
        </w:rPr>
        <w:t xml:space="preserve"> – 3:</w:t>
      </w:r>
      <w:r w:rsidR="00A46105">
        <w:rPr>
          <w:rFonts w:ascii="Times New Roman" w:hAnsi="Times New Roman"/>
        </w:rPr>
        <w:t>28</w:t>
      </w:r>
      <w:r w:rsidR="00DC5924">
        <w:rPr>
          <w:rFonts w:ascii="Times New Roman" w:hAnsi="Times New Roman"/>
        </w:rPr>
        <w:t xml:space="preserve">: </w:t>
      </w:r>
      <w:r w:rsidR="00DC5924" w:rsidRPr="00F668FA">
        <w:rPr>
          <w:rFonts w:ascii="Times New Roman" w:hAnsi="Times New Roman"/>
          <w:b/>
          <w:i/>
        </w:rPr>
        <w:t xml:space="preserve">Developing a counting strategy </w:t>
      </w:r>
    </w:p>
    <w:p w14:paraId="3B6D366F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R: Okay, cool. Okay, well keep going. What’s the next one you want to do?</w:t>
      </w:r>
    </w:p>
    <w:p w14:paraId="67CE101F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That one’s not equal. [</w:t>
      </w:r>
      <w:r>
        <w:rPr>
          <w:rFonts w:ascii="Times New Roman" w:hAnsi="Times New Roman"/>
          <w:i/>
        </w:rPr>
        <w:t>pointing to new example]</w:t>
      </w:r>
    </w:p>
    <w:p w14:paraId="171F556E" w14:textId="6CCC3E7E" w:rsidR="003311E3" w:rsidRPr="003311E3" w:rsidRDefault="003311E3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7C277890" wp14:editId="1D1D4C03">
            <wp:extent cx="2997511" cy="1927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68" cy="19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6042" w14:textId="4CE58A51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G2: Yeah, because it’s all </w:t>
      </w:r>
      <w:r w:rsidR="002C145D">
        <w:rPr>
          <w:rFonts w:ascii="Times New Roman" w:hAnsi="Times New Roman"/>
        </w:rPr>
        <w:t xml:space="preserve">like </w:t>
      </w:r>
      <w:r>
        <w:rPr>
          <w:rFonts w:ascii="Times New Roman" w:hAnsi="Times New Roman"/>
        </w:rPr>
        <w:t>over the place [</w:t>
      </w:r>
      <w:r>
        <w:rPr>
          <w:rFonts w:ascii="Times New Roman" w:hAnsi="Times New Roman"/>
          <w:i/>
        </w:rPr>
        <w:t xml:space="preserve">pointing to shaded squares that are not all touching]. </w:t>
      </w:r>
      <w:r w:rsidR="002C145D">
        <w:rPr>
          <w:rFonts w:ascii="Times New Roman" w:hAnsi="Times New Roman"/>
        </w:rPr>
        <w:t xml:space="preserve">[G1: It’s all over the place.] </w:t>
      </w:r>
      <w:r>
        <w:rPr>
          <w:rFonts w:ascii="Times New Roman" w:hAnsi="Times New Roman"/>
        </w:rPr>
        <w:t>And</w:t>
      </w:r>
      <w:r w:rsidR="00A46105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there’s one </w:t>
      </w:r>
      <w:r w:rsidR="002C145D">
        <w:rPr>
          <w:rFonts w:ascii="Times New Roman" w:hAnsi="Times New Roman"/>
        </w:rPr>
        <w:t>like one [inaudible]</w:t>
      </w:r>
      <w:r>
        <w:rPr>
          <w:rFonts w:ascii="Times New Roman" w:hAnsi="Times New Roman"/>
        </w:rPr>
        <w:t xml:space="preserve"> shaded and one [inaudible] shaded…</w:t>
      </w:r>
    </w:p>
    <w:p w14:paraId="1E72AC81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When you see it you should know what it was.</w:t>
      </w:r>
    </w:p>
    <w:p w14:paraId="30509340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03:10</w:t>
      </w:r>
    </w:p>
    <w:p w14:paraId="1E2DD58B" w14:textId="716ADF9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R: So, just by looking at it</w:t>
      </w:r>
      <w:r w:rsidR="001A5A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it doesn’t look like the same amount of area is shaded as not shaded, but how could we know for sure? Because it’s really hard to tell.</w:t>
      </w:r>
    </w:p>
    <w:p w14:paraId="5F66006C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We could actually count. 1, 2, 3, 4, 5, 6 [</w:t>
      </w:r>
      <w:r>
        <w:rPr>
          <w:rFonts w:ascii="Times New Roman" w:hAnsi="Times New Roman"/>
          <w:i/>
        </w:rPr>
        <w:t>counting the shaded squares on the paper]</w:t>
      </w:r>
      <w:r>
        <w:rPr>
          <w:rFonts w:ascii="Times New Roman" w:hAnsi="Times New Roman"/>
        </w:rPr>
        <w:t xml:space="preserve"> 1, 2, 3, 4, 5, 6, 7 [</w:t>
      </w:r>
      <w:r>
        <w:rPr>
          <w:rFonts w:ascii="Times New Roman" w:hAnsi="Times New Roman"/>
          <w:i/>
        </w:rPr>
        <w:t xml:space="preserve">counting the nonshaded squares on the paper]. </w:t>
      </w:r>
      <w:r>
        <w:rPr>
          <w:rFonts w:ascii="Times New Roman" w:hAnsi="Times New Roman"/>
        </w:rPr>
        <w:t>You already know you’re over so that means it is not going to be a half.</w:t>
      </w:r>
    </w:p>
    <w:p w14:paraId="44311872" w14:textId="77777777" w:rsidR="00A46105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R: Oh, okay. </w:t>
      </w:r>
    </w:p>
    <w:p w14:paraId="186F11E2" w14:textId="1D91B0D4" w:rsidR="00A46105" w:rsidRDefault="00A46105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3:28</w:t>
      </w:r>
    </w:p>
    <w:p w14:paraId="425DA50D" w14:textId="77777777" w:rsidR="00A46105" w:rsidRDefault="00A46105" w:rsidP="0051433F">
      <w:pPr>
        <w:spacing w:line="360" w:lineRule="auto"/>
        <w:ind w:left="270" w:hanging="270"/>
        <w:rPr>
          <w:rFonts w:ascii="Times New Roman" w:hAnsi="Times New Roman"/>
        </w:rPr>
      </w:pPr>
    </w:p>
    <w:p w14:paraId="793964F7" w14:textId="478CDDED" w:rsidR="00A46105" w:rsidRDefault="003F5ABA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Clip 3b</w:t>
      </w:r>
      <w:r w:rsidR="00056C50" w:rsidRPr="00056C50">
        <w:rPr>
          <w:rFonts w:ascii="Times New Roman" w:hAnsi="Times New Roman"/>
          <w:b/>
          <w:i/>
        </w:rPr>
        <w:t xml:space="preserve"> </w:t>
      </w:r>
      <w:bookmarkStart w:id="0" w:name="_GoBack"/>
      <w:r w:rsidR="00056C50">
        <w:rPr>
          <w:rFonts w:ascii="Times New Roman" w:hAnsi="Times New Roman"/>
          <w:b/>
          <w:i/>
        </w:rPr>
        <w:t>Using the counting strategy, and continuing to make sense.</w:t>
      </w:r>
      <w:bookmarkEnd w:id="0"/>
    </w:p>
    <w:p w14:paraId="27DA7222" w14:textId="400B1FD7" w:rsidR="0051433F" w:rsidRPr="00520BEF" w:rsidRDefault="00C706BC" w:rsidP="0051433F">
      <w:pPr>
        <w:spacing w:line="360" w:lineRule="auto"/>
        <w:ind w:left="270" w:hanging="27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05:29</w:t>
      </w:r>
      <w:r w:rsidR="00D922D8">
        <w:rPr>
          <w:rFonts w:ascii="Times New Roman" w:hAnsi="Times New Roman"/>
        </w:rPr>
        <w:t xml:space="preserve"> – 6:03</w:t>
      </w:r>
      <w:r w:rsidR="00520BEF">
        <w:rPr>
          <w:rFonts w:ascii="Times New Roman" w:hAnsi="Times New Roman"/>
        </w:rPr>
        <w:t xml:space="preserve"> </w:t>
      </w:r>
    </w:p>
    <w:p w14:paraId="33C01BE2" w14:textId="5126A294" w:rsidR="00D17EC9" w:rsidRDefault="0051433F" w:rsidP="00144352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[</w:t>
      </w:r>
      <w:r w:rsidRPr="003D1579">
        <w:rPr>
          <w:rFonts w:ascii="Times New Roman" w:hAnsi="Times New Roman"/>
          <w:i/>
        </w:rPr>
        <w:t>G2 hands G1 a new example to look at]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</w:tblGrid>
      <w:tr w:rsidR="00FC5E60" w14:paraId="7E2A85AC" w14:textId="77777777" w:rsidTr="00144352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262D21CD" w14:textId="77777777" w:rsidR="00FC5E60" w:rsidRDefault="00FC5E60" w:rsidP="00144352"/>
        </w:tc>
        <w:tc>
          <w:tcPr>
            <w:tcW w:w="885" w:type="dxa"/>
            <w:tcBorders>
              <w:bottom w:val="single" w:sz="4" w:space="0" w:color="auto"/>
            </w:tcBorders>
          </w:tcPr>
          <w:p w14:paraId="2C767CA8" w14:textId="77777777" w:rsidR="00FC5E60" w:rsidRDefault="00FC5E60" w:rsidP="00144352"/>
        </w:tc>
        <w:tc>
          <w:tcPr>
            <w:tcW w:w="885" w:type="dxa"/>
            <w:shd w:val="clear" w:color="auto" w:fill="CCCCCC"/>
          </w:tcPr>
          <w:p w14:paraId="589901EF" w14:textId="77777777" w:rsidR="00FC5E60" w:rsidRDefault="00FC5E60" w:rsidP="00144352"/>
        </w:tc>
        <w:tc>
          <w:tcPr>
            <w:tcW w:w="885" w:type="dxa"/>
            <w:shd w:val="clear" w:color="auto" w:fill="CCCCCC"/>
          </w:tcPr>
          <w:p w14:paraId="00EC23EA" w14:textId="77777777" w:rsidR="00FC5E60" w:rsidRDefault="00FC5E60" w:rsidP="00144352"/>
        </w:tc>
      </w:tr>
      <w:tr w:rsidR="00FC5E60" w14:paraId="39E3214E" w14:textId="77777777" w:rsidTr="00144352">
        <w:trPr>
          <w:trHeight w:val="432"/>
        </w:trPr>
        <w:tc>
          <w:tcPr>
            <w:tcW w:w="885" w:type="dxa"/>
            <w:shd w:val="clear" w:color="auto" w:fill="CCCCCC"/>
          </w:tcPr>
          <w:p w14:paraId="40570422" w14:textId="77777777" w:rsidR="00FC5E60" w:rsidRDefault="00FC5E60" w:rsidP="00144352"/>
        </w:tc>
        <w:tc>
          <w:tcPr>
            <w:tcW w:w="885" w:type="dxa"/>
            <w:shd w:val="clear" w:color="auto" w:fill="CCCCCC"/>
          </w:tcPr>
          <w:p w14:paraId="654659E7" w14:textId="77777777" w:rsidR="00FC5E60" w:rsidRDefault="00FC5E60" w:rsidP="00144352"/>
        </w:tc>
        <w:tc>
          <w:tcPr>
            <w:tcW w:w="885" w:type="dxa"/>
            <w:tcBorders>
              <w:bottom w:val="single" w:sz="4" w:space="0" w:color="auto"/>
            </w:tcBorders>
          </w:tcPr>
          <w:p w14:paraId="56F3CCAE" w14:textId="77777777" w:rsidR="00FC5E60" w:rsidRDefault="00FC5E60" w:rsidP="00144352"/>
        </w:tc>
        <w:tc>
          <w:tcPr>
            <w:tcW w:w="885" w:type="dxa"/>
          </w:tcPr>
          <w:p w14:paraId="62002047" w14:textId="77777777" w:rsidR="00FC5E60" w:rsidRDefault="00FC5E60" w:rsidP="00144352"/>
        </w:tc>
      </w:tr>
      <w:tr w:rsidR="00FC5E60" w14:paraId="60102A65" w14:textId="77777777" w:rsidTr="00144352">
        <w:trPr>
          <w:trHeight w:val="432"/>
        </w:trPr>
        <w:tc>
          <w:tcPr>
            <w:tcW w:w="885" w:type="dxa"/>
            <w:tcBorders>
              <w:bottom w:val="single" w:sz="4" w:space="0" w:color="auto"/>
            </w:tcBorders>
          </w:tcPr>
          <w:p w14:paraId="59817B2F" w14:textId="77777777" w:rsidR="00FC5E60" w:rsidRDefault="00FC5E60" w:rsidP="00144352"/>
        </w:tc>
        <w:tc>
          <w:tcPr>
            <w:tcW w:w="885" w:type="dxa"/>
            <w:shd w:val="clear" w:color="auto" w:fill="CCCCCC"/>
          </w:tcPr>
          <w:p w14:paraId="575FAFB6" w14:textId="77777777" w:rsidR="00FC5E60" w:rsidRDefault="00FC5E60" w:rsidP="00144352"/>
        </w:tc>
        <w:tc>
          <w:tcPr>
            <w:tcW w:w="885" w:type="dxa"/>
            <w:shd w:val="clear" w:color="auto" w:fill="CCCCCC"/>
          </w:tcPr>
          <w:p w14:paraId="0CE4B9B4" w14:textId="77777777" w:rsidR="00FC5E60" w:rsidRDefault="00FC5E60" w:rsidP="00144352"/>
        </w:tc>
        <w:tc>
          <w:tcPr>
            <w:tcW w:w="885" w:type="dxa"/>
            <w:tcBorders>
              <w:bottom w:val="single" w:sz="4" w:space="0" w:color="auto"/>
            </w:tcBorders>
          </w:tcPr>
          <w:p w14:paraId="3DB4E709" w14:textId="77777777" w:rsidR="00FC5E60" w:rsidRDefault="00FC5E60" w:rsidP="00144352"/>
        </w:tc>
      </w:tr>
      <w:tr w:rsidR="00FC5E60" w14:paraId="16EF4196" w14:textId="77777777" w:rsidTr="00144352">
        <w:trPr>
          <w:trHeight w:val="432"/>
        </w:trPr>
        <w:tc>
          <w:tcPr>
            <w:tcW w:w="885" w:type="dxa"/>
            <w:shd w:val="clear" w:color="auto" w:fill="CCCCCC"/>
          </w:tcPr>
          <w:p w14:paraId="673754A2" w14:textId="77777777" w:rsidR="00FC5E60" w:rsidRDefault="00FC5E60" w:rsidP="00144352"/>
        </w:tc>
        <w:tc>
          <w:tcPr>
            <w:tcW w:w="885" w:type="dxa"/>
          </w:tcPr>
          <w:p w14:paraId="50B6B2ED" w14:textId="77777777" w:rsidR="00FC5E60" w:rsidRDefault="00FC5E60" w:rsidP="00144352"/>
        </w:tc>
        <w:tc>
          <w:tcPr>
            <w:tcW w:w="885" w:type="dxa"/>
          </w:tcPr>
          <w:p w14:paraId="0BFB1367" w14:textId="77777777" w:rsidR="00FC5E60" w:rsidRDefault="00FC5E60" w:rsidP="00144352"/>
        </w:tc>
        <w:tc>
          <w:tcPr>
            <w:tcW w:w="885" w:type="dxa"/>
            <w:shd w:val="clear" w:color="auto" w:fill="CCCCCC"/>
          </w:tcPr>
          <w:p w14:paraId="3A242013" w14:textId="77777777" w:rsidR="00FC5E60" w:rsidRDefault="00FC5E60" w:rsidP="00144352"/>
        </w:tc>
      </w:tr>
    </w:tbl>
    <w:p w14:paraId="4A4A79BD" w14:textId="77777777" w:rsidR="00FC5E60" w:rsidRPr="00D17EC9" w:rsidRDefault="00FC5E60" w:rsidP="0051433F">
      <w:pPr>
        <w:spacing w:line="360" w:lineRule="auto"/>
        <w:ind w:left="270" w:hanging="270"/>
        <w:rPr>
          <w:rFonts w:ascii="Times New Roman" w:hAnsi="Times New Roman"/>
        </w:rPr>
      </w:pPr>
    </w:p>
    <w:p w14:paraId="33CED38D" w14:textId="77777777" w:rsidR="0051433F" w:rsidRPr="003D1579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[</w:t>
      </w:r>
      <w:r>
        <w:rPr>
          <w:rFonts w:ascii="Times New Roman" w:hAnsi="Times New Roman"/>
          <w:i/>
        </w:rPr>
        <w:t xml:space="preserve">counting nonshaded boxes] </w:t>
      </w:r>
      <w:r>
        <w:rPr>
          <w:rFonts w:ascii="Times New Roman" w:hAnsi="Times New Roman"/>
        </w:rPr>
        <w:t>1, 2, 3, 4, 5, 6, 7, 8. [</w:t>
      </w:r>
      <w:r>
        <w:rPr>
          <w:rFonts w:ascii="Times New Roman" w:hAnsi="Times New Roman"/>
          <w:i/>
        </w:rPr>
        <w:t>counting shaded boxes</w:t>
      </w:r>
      <w:r>
        <w:rPr>
          <w:rFonts w:ascii="Times New Roman" w:hAnsi="Times New Roman"/>
        </w:rPr>
        <w:t xml:space="preserve">] 1, 2, 3, 4, 5, 6, 7, 8. It is equal because if you put them in the right order than you would know it’s equal. </w:t>
      </w:r>
    </w:p>
    <w:p w14:paraId="209690D5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05:43</w:t>
      </w:r>
    </w:p>
    <w:p w14:paraId="4B3F063B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G2: Like if you switched them around?</w:t>
      </w:r>
    </w:p>
    <w:p w14:paraId="4BDEF0E1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G1: Yeah. </w:t>
      </w:r>
    </w:p>
    <w:p w14:paraId="42CBD3B6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R: Okay. </w:t>
      </w:r>
    </w:p>
    <w:p w14:paraId="2085BD25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So I think it’s equal.</w:t>
      </w:r>
    </w:p>
    <w:p w14:paraId="45B5E79E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R: You both agree?</w:t>
      </w:r>
    </w:p>
    <w:p w14:paraId="6E83748F" w14:textId="3A6520C1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G1: </w:t>
      </w:r>
      <w:r w:rsidR="00144352">
        <w:rPr>
          <w:rFonts w:ascii="Times New Roman" w:hAnsi="Times New Roman"/>
        </w:rPr>
        <w:t>[</w:t>
      </w:r>
      <w:r w:rsidR="00144352">
        <w:rPr>
          <w:rFonts w:ascii="Times New Roman" w:hAnsi="Times New Roman"/>
          <w:i/>
        </w:rPr>
        <w:t xml:space="preserve">looking at G2] </w:t>
      </w:r>
      <w:r>
        <w:rPr>
          <w:rFonts w:ascii="Times New Roman" w:hAnsi="Times New Roman"/>
        </w:rPr>
        <w:t xml:space="preserve">Do we both agree? </w:t>
      </w:r>
    </w:p>
    <w:p w14:paraId="441B7BD3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G2: Yes. </w:t>
      </w:r>
    </w:p>
    <w:p w14:paraId="6D6A1A74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R: Yes, okay. </w:t>
      </w:r>
    </w:p>
    <w:p w14:paraId="1A85B4F3" w14:textId="696FF8C0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G2: Because there’s like two together.</w:t>
      </w:r>
      <w:r w:rsidR="00DF7697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14:paraId="167B9BD5" w14:textId="07A6BCFD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[</w:t>
      </w:r>
      <w:r>
        <w:rPr>
          <w:rFonts w:ascii="Times New Roman" w:hAnsi="Times New Roman"/>
          <w:i/>
        </w:rPr>
        <w:t>counting shaded and nonshaded boxes to herself</w:t>
      </w:r>
      <w:r w:rsidR="00DF7697">
        <w:rPr>
          <w:rFonts w:ascii="Times New Roman" w:hAnsi="Times New Roman"/>
          <w:i/>
        </w:rPr>
        <w:t>. Looks up when done.</w:t>
      </w:r>
      <w:r>
        <w:rPr>
          <w:rFonts w:ascii="Times New Roman" w:hAnsi="Times New Roman"/>
          <w:i/>
        </w:rPr>
        <w:t>]</w:t>
      </w:r>
      <w:r>
        <w:rPr>
          <w:rFonts w:ascii="Times New Roman" w:hAnsi="Times New Roman"/>
        </w:rPr>
        <w:t xml:space="preserve"> I was just making sure.</w:t>
      </w:r>
    </w:p>
    <w:p w14:paraId="1F15EDC8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R: Great. That’s a great way to make sure. </w:t>
      </w:r>
    </w:p>
    <w:p w14:paraId="274FDC5D" w14:textId="28FC12F5" w:rsidR="0051433F" w:rsidRDefault="00DF7697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06:03</w:t>
      </w:r>
    </w:p>
    <w:p w14:paraId="723C86A5" w14:textId="77777777" w:rsidR="00D922D8" w:rsidRDefault="00D922D8" w:rsidP="0051433F">
      <w:pPr>
        <w:spacing w:line="360" w:lineRule="auto"/>
        <w:ind w:left="270" w:hanging="270"/>
        <w:rPr>
          <w:rFonts w:ascii="Times New Roman" w:hAnsi="Times New Roman"/>
        </w:rPr>
      </w:pPr>
    </w:p>
    <w:p w14:paraId="4D9B8491" w14:textId="432226E0" w:rsidR="003F5ABA" w:rsidRDefault="003F5ABA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Clip 3c</w:t>
      </w:r>
      <w:r w:rsidR="0078191C">
        <w:rPr>
          <w:rFonts w:ascii="Times New Roman" w:hAnsi="Times New Roman"/>
        </w:rPr>
        <w:t xml:space="preserve"> </w:t>
      </w:r>
      <w:r w:rsidR="0078191C" w:rsidRPr="0078191C">
        <w:rPr>
          <w:rFonts w:ascii="Times New Roman" w:hAnsi="Times New Roman"/>
          <w:b/>
          <w:i/>
        </w:rPr>
        <w:t xml:space="preserve">Argumentation </w:t>
      </w:r>
      <w:r w:rsidR="0078191C">
        <w:rPr>
          <w:rFonts w:ascii="Times New Roman" w:hAnsi="Times New Roman"/>
          <w:b/>
          <w:i/>
        </w:rPr>
        <w:t>and error detection</w:t>
      </w:r>
      <w:r w:rsidR="0078191C">
        <w:rPr>
          <w:rFonts w:ascii="Times New Roman" w:hAnsi="Times New Roman"/>
        </w:rPr>
        <w:t xml:space="preserve"> </w:t>
      </w:r>
    </w:p>
    <w:p w14:paraId="764B03A0" w14:textId="48A75523" w:rsidR="00D922D8" w:rsidRDefault="00D922D8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6:42</w:t>
      </w:r>
      <w:r w:rsidR="00052EDB">
        <w:rPr>
          <w:rFonts w:ascii="Times New Roman" w:hAnsi="Times New Roman"/>
        </w:rPr>
        <w:t xml:space="preserve"> – </w:t>
      </w:r>
      <w:r w:rsidR="00BB48A4">
        <w:rPr>
          <w:rFonts w:ascii="Times New Roman" w:hAnsi="Times New Roman"/>
        </w:rPr>
        <w:t>7:13</w:t>
      </w:r>
    </w:p>
    <w:p w14:paraId="60967851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[G2 hands G1 another example to look at]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</w:tblGrid>
      <w:tr w:rsidR="000C7346" w14:paraId="74A764E2" w14:textId="77777777" w:rsidTr="000C7346">
        <w:trPr>
          <w:trHeight w:val="432"/>
        </w:trPr>
        <w:tc>
          <w:tcPr>
            <w:tcW w:w="885" w:type="dxa"/>
            <w:shd w:val="clear" w:color="auto" w:fill="CCCCCC"/>
          </w:tcPr>
          <w:p w14:paraId="0297421B" w14:textId="77777777" w:rsidR="000C7346" w:rsidRDefault="000C7346" w:rsidP="00995C8F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7FCFC319" w14:textId="77777777" w:rsidR="000C7346" w:rsidRDefault="000C7346" w:rsidP="00995C8F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07C8640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243732DF" w14:textId="77777777" w:rsidR="000C7346" w:rsidRDefault="000C7346" w:rsidP="00995C8F"/>
        </w:tc>
      </w:tr>
      <w:tr w:rsidR="000C7346" w14:paraId="6A1D3A78" w14:textId="77777777" w:rsidTr="000C7346">
        <w:trPr>
          <w:trHeight w:val="432"/>
        </w:trPr>
        <w:tc>
          <w:tcPr>
            <w:tcW w:w="885" w:type="dxa"/>
            <w:shd w:val="clear" w:color="auto" w:fill="auto"/>
          </w:tcPr>
          <w:p w14:paraId="54D62411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363284A8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4B17EAC3" w14:textId="77777777" w:rsidR="000C7346" w:rsidRDefault="000C7346" w:rsidP="00995C8F"/>
        </w:tc>
        <w:tc>
          <w:tcPr>
            <w:tcW w:w="885" w:type="dxa"/>
            <w:shd w:val="clear" w:color="auto" w:fill="auto"/>
          </w:tcPr>
          <w:p w14:paraId="6F960A7C" w14:textId="77777777" w:rsidR="000C7346" w:rsidRDefault="000C7346" w:rsidP="00995C8F"/>
        </w:tc>
      </w:tr>
      <w:tr w:rsidR="000C7346" w14:paraId="6F76DAC0" w14:textId="77777777" w:rsidTr="000C7346">
        <w:trPr>
          <w:trHeight w:val="432"/>
        </w:trPr>
        <w:tc>
          <w:tcPr>
            <w:tcW w:w="885" w:type="dxa"/>
            <w:shd w:val="clear" w:color="auto" w:fill="auto"/>
          </w:tcPr>
          <w:p w14:paraId="7E58FE82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3728B72A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30079C80" w14:textId="77777777" w:rsidR="000C7346" w:rsidRDefault="000C7346" w:rsidP="00995C8F"/>
        </w:tc>
        <w:tc>
          <w:tcPr>
            <w:tcW w:w="885" w:type="dxa"/>
            <w:shd w:val="clear" w:color="auto" w:fill="auto"/>
          </w:tcPr>
          <w:p w14:paraId="2F0BB6F6" w14:textId="77777777" w:rsidR="000C7346" w:rsidRDefault="000C7346" w:rsidP="00995C8F"/>
        </w:tc>
      </w:tr>
      <w:tr w:rsidR="000C7346" w14:paraId="1F879A26" w14:textId="77777777" w:rsidTr="000C7346">
        <w:trPr>
          <w:trHeight w:val="432"/>
        </w:trPr>
        <w:tc>
          <w:tcPr>
            <w:tcW w:w="885" w:type="dxa"/>
            <w:shd w:val="clear" w:color="auto" w:fill="auto"/>
          </w:tcPr>
          <w:p w14:paraId="3DB2DA5B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116FB066" w14:textId="77777777" w:rsidR="000C7346" w:rsidRDefault="000C7346" w:rsidP="00995C8F"/>
        </w:tc>
        <w:tc>
          <w:tcPr>
            <w:tcW w:w="885" w:type="dxa"/>
            <w:shd w:val="clear" w:color="auto" w:fill="CCCCCC"/>
          </w:tcPr>
          <w:p w14:paraId="04CEFCA5" w14:textId="77777777" w:rsidR="000C7346" w:rsidRDefault="000C7346" w:rsidP="00995C8F"/>
        </w:tc>
        <w:tc>
          <w:tcPr>
            <w:tcW w:w="885" w:type="dxa"/>
            <w:shd w:val="clear" w:color="auto" w:fill="auto"/>
          </w:tcPr>
          <w:p w14:paraId="13BEF347" w14:textId="77777777" w:rsidR="000C7346" w:rsidRDefault="000C7346" w:rsidP="00995C8F"/>
        </w:tc>
      </w:tr>
    </w:tbl>
    <w:p w14:paraId="402D82C7" w14:textId="32FADB76" w:rsidR="005D15F0" w:rsidRPr="005D15F0" w:rsidRDefault="005D15F0" w:rsidP="0051433F">
      <w:pPr>
        <w:spacing w:line="360" w:lineRule="auto"/>
        <w:ind w:left="270" w:hanging="270"/>
        <w:rPr>
          <w:rFonts w:ascii="Times New Roman" w:hAnsi="Times New Roman"/>
        </w:rPr>
      </w:pPr>
    </w:p>
    <w:p w14:paraId="484F0C07" w14:textId="18324478" w:rsidR="00F2654B" w:rsidRPr="0009535C" w:rsidRDefault="00F2654B" w:rsidP="00F2654B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I think it’s not half because [G2: there’s more than] here’s, the darker ones are more than that one [G2: yeah, there are more] and I can tell because there’s 6 in the middle and there’s 6 on the side. Wait, no, it’s equal [</w:t>
      </w:r>
      <w:r>
        <w:rPr>
          <w:rFonts w:ascii="Times New Roman" w:hAnsi="Times New Roman"/>
          <w:i/>
        </w:rPr>
        <w:t>smiles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hmmhm.</w:t>
      </w:r>
    </w:p>
    <w:p w14:paraId="20270457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G2: Wait…</w:t>
      </w:r>
    </w:p>
    <w:p w14:paraId="13DE3907" w14:textId="77777777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07:00</w:t>
      </w:r>
    </w:p>
    <w:p w14:paraId="4F3E7697" w14:textId="0771A61A" w:rsidR="0051433F" w:rsidRDefault="0051433F" w:rsidP="0051433F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It is because look 6 [</w:t>
      </w:r>
      <w:r>
        <w:rPr>
          <w:rFonts w:ascii="Times New Roman" w:hAnsi="Times New Roman"/>
          <w:i/>
        </w:rPr>
        <w:t>pointing to shaded boxes]</w:t>
      </w:r>
      <w:r>
        <w:rPr>
          <w:rFonts w:ascii="Times New Roman" w:hAnsi="Times New Roman"/>
        </w:rPr>
        <w:t xml:space="preserve"> and then 6 in the middle [</w:t>
      </w:r>
      <w:r>
        <w:rPr>
          <w:rFonts w:ascii="Times New Roman" w:hAnsi="Times New Roman"/>
          <w:i/>
        </w:rPr>
        <w:t>pointing to nonshaded boxes]</w:t>
      </w:r>
      <w:r>
        <w:rPr>
          <w:rFonts w:ascii="Times New Roman" w:hAnsi="Times New Roman"/>
        </w:rPr>
        <w:t xml:space="preserve"> and then 2 here [</w:t>
      </w:r>
      <w:r>
        <w:rPr>
          <w:rFonts w:ascii="Times New Roman" w:hAnsi="Times New Roman"/>
          <w:i/>
        </w:rPr>
        <w:t xml:space="preserve">pointing to shaded boxes] </w:t>
      </w:r>
      <w:r>
        <w:rPr>
          <w:rFonts w:ascii="Times New Roman" w:hAnsi="Times New Roman"/>
        </w:rPr>
        <w:t>and then 2 here [</w:t>
      </w:r>
      <w:r>
        <w:rPr>
          <w:rFonts w:ascii="Times New Roman" w:hAnsi="Times New Roman"/>
          <w:i/>
        </w:rPr>
        <w:t>pointing to nonshaded boxes].</w:t>
      </w:r>
      <w:r>
        <w:rPr>
          <w:rFonts w:ascii="Times New Roman" w:hAnsi="Times New Roman"/>
        </w:rPr>
        <w:t xml:space="preserve"> So, I think it’s a half. </w:t>
      </w:r>
      <w:r w:rsidR="00BB48A4">
        <w:rPr>
          <w:rFonts w:ascii="Times New Roman" w:hAnsi="Times New Roman"/>
        </w:rPr>
        <w:t>You can say what you think.</w:t>
      </w:r>
    </w:p>
    <w:p w14:paraId="3D2E2DB7" w14:textId="77777777" w:rsidR="00DB4B3E" w:rsidRDefault="00DB4B3E" w:rsidP="00DB4B3E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7:08 </w:t>
      </w:r>
    </w:p>
    <w:p w14:paraId="2F9CA29E" w14:textId="77777777" w:rsidR="00DB4B3E" w:rsidRDefault="00DB4B3E" w:rsidP="00DB4B3E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R: Cat, what do you think? </w:t>
      </w:r>
    </w:p>
    <w:p w14:paraId="271758C6" w14:textId="77777777" w:rsidR="00DB4B3E" w:rsidRDefault="00DB4B3E" w:rsidP="00DB4B3E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G1: What do you think?</w:t>
      </w:r>
    </w:p>
    <w:p w14:paraId="45B56172" w14:textId="77777777" w:rsidR="00DB4B3E" w:rsidRDefault="00DB4B3E" w:rsidP="00DB4B3E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R: This is a really interesting one, huh?</w:t>
      </w:r>
    </w:p>
    <w:p w14:paraId="2DFDF4A2" w14:textId="029EC5BE" w:rsidR="00BB48A4" w:rsidRDefault="00BB48A4" w:rsidP="00DB4B3E">
      <w:pPr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7:13</w:t>
      </w:r>
    </w:p>
    <w:p w14:paraId="4943DDBD" w14:textId="77777777" w:rsidR="0051433F" w:rsidRDefault="0051433F"/>
    <w:sectPr w:rsidR="0051433F" w:rsidSect="00FA13E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2D93" w14:textId="77777777" w:rsidR="001A5A1F" w:rsidRDefault="001A5A1F" w:rsidP="00187E14">
      <w:r>
        <w:separator/>
      </w:r>
    </w:p>
  </w:endnote>
  <w:endnote w:type="continuationSeparator" w:id="0">
    <w:p w14:paraId="36BFDC44" w14:textId="77777777" w:rsidR="001A5A1F" w:rsidRDefault="001A5A1F" w:rsidP="0018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98A2" w14:textId="77777777" w:rsidR="001A5A1F" w:rsidRDefault="001A5A1F" w:rsidP="001A5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F9804" w14:textId="77777777" w:rsidR="001A5A1F" w:rsidRDefault="001A5A1F" w:rsidP="00187E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00973" w14:textId="77777777" w:rsidR="001A5A1F" w:rsidRDefault="001A5A1F" w:rsidP="001A5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C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86B10" w14:textId="77777777" w:rsidR="001A5A1F" w:rsidRDefault="001A5A1F" w:rsidP="00187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8F45" w14:textId="77777777" w:rsidR="001A5A1F" w:rsidRDefault="001A5A1F" w:rsidP="00187E14">
      <w:r>
        <w:separator/>
      </w:r>
    </w:p>
  </w:footnote>
  <w:footnote w:type="continuationSeparator" w:id="0">
    <w:p w14:paraId="30A4A063" w14:textId="77777777" w:rsidR="001A5A1F" w:rsidRDefault="001A5A1F" w:rsidP="0018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E5"/>
    <w:rsid w:val="00006A4E"/>
    <w:rsid w:val="00052EDB"/>
    <w:rsid w:val="00056C50"/>
    <w:rsid w:val="000C7346"/>
    <w:rsid w:val="000F77A1"/>
    <w:rsid w:val="001014D4"/>
    <w:rsid w:val="00101C5C"/>
    <w:rsid w:val="00144352"/>
    <w:rsid w:val="00187E14"/>
    <w:rsid w:val="001A00EC"/>
    <w:rsid w:val="001A36CB"/>
    <w:rsid w:val="001A5A1F"/>
    <w:rsid w:val="00250980"/>
    <w:rsid w:val="002771F5"/>
    <w:rsid w:val="0029139C"/>
    <w:rsid w:val="002C145D"/>
    <w:rsid w:val="002F48ED"/>
    <w:rsid w:val="003311E3"/>
    <w:rsid w:val="003B7B0E"/>
    <w:rsid w:val="003C678B"/>
    <w:rsid w:val="003F5ABA"/>
    <w:rsid w:val="0045452E"/>
    <w:rsid w:val="004F0FCD"/>
    <w:rsid w:val="0050074D"/>
    <w:rsid w:val="0051433F"/>
    <w:rsid w:val="00520BEF"/>
    <w:rsid w:val="005A75EC"/>
    <w:rsid w:val="005C62BE"/>
    <w:rsid w:val="005D15F0"/>
    <w:rsid w:val="005E58DA"/>
    <w:rsid w:val="00634042"/>
    <w:rsid w:val="00637EF5"/>
    <w:rsid w:val="00645C58"/>
    <w:rsid w:val="00682B46"/>
    <w:rsid w:val="006B5005"/>
    <w:rsid w:val="00752948"/>
    <w:rsid w:val="0078191C"/>
    <w:rsid w:val="007C37E7"/>
    <w:rsid w:val="00876076"/>
    <w:rsid w:val="008A7071"/>
    <w:rsid w:val="008B397C"/>
    <w:rsid w:val="008F0316"/>
    <w:rsid w:val="00960D99"/>
    <w:rsid w:val="00995C8F"/>
    <w:rsid w:val="009B01DC"/>
    <w:rsid w:val="009D0714"/>
    <w:rsid w:val="009F6614"/>
    <w:rsid w:val="00A46105"/>
    <w:rsid w:val="00AB2086"/>
    <w:rsid w:val="00AC7BD6"/>
    <w:rsid w:val="00AD174F"/>
    <w:rsid w:val="00B079C6"/>
    <w:rsid w:val="00B6047A"/>
    <w:rsid w:val="00BB48A4"/>
    <w:rsid w:val="00C706BC"/>
    <w:rsid w:val="00C836EA"/>
    <w:rsid w:val="00CD04E5"/>
    <w:rsid w:val="00D17EC9"/>
    <w:rsid w:val="00D33CE0"/>
    <w:rsid w:val="00D5151D"/>
    <w:rsid w:val="00D922D8"/>
    <w:rsid w:val="00DB4B3E"/>
    <w:rsid w:val="00DC5924"/>
    <w:rsid w:val="00DF7697"/>
    <w:rsid w:val="00E2675E"/>
    <w:rsid w:val="00E731B7"/>
    <w:rsid w:val="00E83827"/>
    <w:rsid w:val="00F2654B"/>
    <w:rsid w:val="00F668FA"/>
    <w:rsid w:val="00FA13E8"/>
    <w:rsid w:val="00FC5E6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A8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C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FC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A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A4"/>
    <w:rPr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14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87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C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FC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A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A4"/>
    <w:rPr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14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8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397</Words>
  <Characters>2268</Characters>
  <Application>Microsoft Macintosh Word</Application>
  <DocSecurity>0</DocSecurity>
  <Lines>18</Lines>
  <Paragraphs>5</Paragraphs>
  <ScaleCrop>false</ScaleCrop>
  <Company>Neag School of Education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10</cp:revision>
  <dcterms:created xsi:type="dcterms:W3CDTF">2015-08-17T17:26:00Z</dcterms:created>
  <dcterms:modified xsi:type="dcterms:W3CDTF">2015-09-11T16:02:00Z</dcterms:modified>
</cp:coreProperties>
</file>